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400" w:after="120"/>
        <w:jc w:val="center"/>
      </w:pPr>
      <w:r>
        <w:rPr>
          <w:rFonts w:ascii="Arial" w:cs="Arial" w:eastAsia="Arial" w:hAnsi="Arial"/>
          <w:b/>
          <w:bCs/>
          <w:color w:val="1A3A5C"/>
          <w:sz w:val="48"/>
          <w:szCs w:val="48"/>
        </w:rPr>
        <w:t xml:space="preserve">CONCOURS BD DU FLEUVE CONGO</w:t>
      </w:r>
    </w:p>
    <w:p>
      <w:pPr>
        <w:spacing w:before="0" w:after="80"/>
        <w:jc w:val="center"/>
      </w:pPr>
      <w:r>
        <w:rPr>
          <w:rFonts w:ascii="Arial" w:cs="Arial" w:eastAsia="Arial" w:hAnsi="Arial"/>
          <w:color w:val="2E6DA4"/>
          <w:sz w:val="32"/>
          <w:szCs w:val="32"/>
        </w:rPr>
        <w:t xml:space="preserve">Brazzaville – Kinshasa</w:t>
      </w:r>
    </w:p>
    <w:p>
      <w:pPr>
        <w:spacing w:before="0" w:after="80"/>
        <w:jc w:val="center"/>
      </w:pPr>
      <w:r>
        <w:rPr>
          <w:rFonts w:ascii="Arial" w:cs="Arial" w:eastAsia="Arial" w:hAnsi="Arial"/>
          <w:i/>
          <w:iCs/>
          <w:color w:val="555555"/>
          <w:sz w:val="22"/>
          <w:szCs w:val="22"/>
        </w:rPr>
        <w:t xml:space="preserve">Organisé par Graphik’noir dans le cadre de la BD Academy</w:t>
      </w:r>
    </w:p>
    <w:p>
      <w:pPr>
        <w:pBdr>
          <w:bottom w:val="single" w:color="2E6DA4" w:sz="4" w:space="1"/>
        </w:pBdr>
        <w:spacing w:before="160" w:after="160"/>
      </w:pPr>
    </w:p>
    <w:p>
      <w:pPr>
        <w:pStyle w:val="Heading1"/>
        <w:spacing w:before="320" w:after="120"/>
      </w:pPr>
      <w:r>
        <w:rPr>
          <w:rFonts w:ascii="Arial" w:cs="Arial" w:eastAsia="Arial" w:hAnsi="Arial"/>
          <w:b/>
          <w:bCs/>
          <w:color w:val="1A3A5C"/>
          <w:sz w:val="28"/>
          <w:szCs w:val="28"/>
        </w:rPr>
        <w:t xml:space="preserve">Article 1 – Présentation du concours</w:t>
      </w:r>
    </w:p>
    <w:p>
      <w:pPr>
        <w:spacing w:before="80" w:after="80"/>
        <w:jc w:val="both"/>
      </w:pPr>
      <w:r>
        <w:rPr>
          <w:rFonts w:ascii="Arial" w:cs="Arial" w:eastAsia="Arial" w:hAnsi="Arial"/>
          <w:sz w:val="22"/>
          <w:szCs w:val="22"/>
        </w:rPr>
        <w:t xml:space="preserve">Graphik’noir, maison d’édition et entreprise d’impression basée à Brazzaville (Congo), organise le « Concours BD du Fleuve Congo », un concours de bande dessinée ouvert à toute personne de 12 ans et plus résidant en République du Congo ou en République Démocratique du Congo.</w:t>
      </w:r>
    </w:p>
    <w:p>
      <w:pPr>
        <w:spacing w:before="80" w:after="80"/>
        <w:jc w:val="both"/>
      </w:pPr>
      <w:r>
        <w:rPr>
          <w:rFonts w:ascii="Arial" w:cs="Arial" w:eastAsia="Arial" w:hAnsi="Arial"/>
          <w:sz w:val="22"/>
          <w:szCs w:val="22"/>
        </w:rPr>
        <w:t xml:space="preserve">Ce concours s’inscrit dans le cadre de la BD Academy, événement annuel de formation en bande dessinée organisé chaque été par Graphik’noir.</w:t>
      </w:r>
    </w:p>
    <w:p>
      <w:pPr>
        <w:pBdr>
          <w:bottom w:val="single" w:color="2E6DA4" w:sz="4" w:space="1"/>
        </w:pBdr>
        <w:spacing w:before="160" w:after="160"/>
      </w:pPr>
    </w:p>
    <w:p>
      <w:pPr>
        <w:pStyle w:val="Heading1"/>
        <w:spacing w:before="320" w:after="120"/>
      </w:pPr>
      <w:r>
        <w:rPr>
          <w:rFonts w:ascii="Arial" w:cs="Arial" w:eastAsia="Arial" w:hAnsi="Arial"/>
          <w:b/>
          <w:bCs/>
          <w:color w:val="1A3A5C"/>
          <w:sz w:val="28"/>
          <w:szCs w:val="28"/>
        </w:rPr>
        <w:t xml:space="preserve">Article 2 – Calendrier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200"/>
        <w:gridCol w:w="6160"/>
      </w:tblGrid>
      <w:tr>
        <w:tc>
          <w:tcPr>
            <w:tcW w:type="dxa" w:w="3200"/>
            <w:tcBorders>
              <w:top w:val="single" w:color="CCCCCC" w:sz="1"/>
              <w:left w:val="single" w:color="CCCCCC" w:sz="1"/>
              <w:bottom w:val="single" w:color="CCCCCC" w:sz="1"/>
              <w:right w:val="single" w:color="CCCCCC" w:sz="1"/>
            </w:tcBorders>
            <w:shd w:fill="E8F0FB" w:val="clear"/>
            <w:tcMar>
              <w:top w:type="dxa" w:w="80"/>
              <w:left w:type="dxa" w:w="120"/>
              <w:bottom w:type="dxa" w:w="80"/>
              <w:right w:type="dxa" w:w="120"/>
            </w:tcMar>
          </w:tcPr>
          <w:p>
            <w:r>
              <w:rPr>
                <w:rFonts w:ascii="Arial" w:cs="Arial" w:eastAsia="Arial" w:hAnsi="Arial"/>
                <w:b/>
                <w:bCs/>
                <w:sz w:val="22"/>
                <w:szCs w:val="22"/>
              </w:rPr>
              <w:t xml:space="preserve">Ouverture des inscriptions</w:t>
            </w:r>
          </w:p>
        </w:tc>
        <w:tc>
          <w:tcPr>
            <w:tcW w:type="dxa" w:w="61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2"/>
                <w:szCs w:val="22"/>
              </w:rPr>
              <w:t xml:space="preserve">Du 5 au 20 juin 2026</w:t>
            </w:r>
          </w:p>
        </w:tc>
      </w:tr>
      <w:tr>
        <w:tc>
          <w:tcPr>
            <w:tcW w:type="dxa" w:w="3200"/>
            <w:tcBorders>
              <w:top w:val="single" w:color="CCCCCC" w:sz="1"/>
              <w:left w:val="single" w:color="CCCCCC" w:sz="1"/>
              <w:bottom w:val="single" w:color="CCCCCC" w:sz="1"/>
              <w:right w:val="single" w:color="CCCCCC" w:sz="1"/>
            </w:tcBorders>
            <w:shd w:fill="E8F0FB" w:val="clear"/>
            <w:tcMar>
              <w:top w:type="dxa" w:w="80"/>
              <w:left w:type="dxa" w:w="120"/>
              <w:bottom w:type="dxa" w:w="80"/>
              <w:right w:type="dxa" w:w="120"/>
            </w:tcMar>
          </w:tcPr>
          <w:p>
            <w:r>
              <w:rPr>
                <w:rFonts w:ascii="Arial" w:cs="Arial" w:eastAsia="Arial" w:hAnsi="Arial"/>
                <w:b/>
                <w:bCs/>
                <w:sz w:val="22"/>
                <w:szCs w:val="22"/>
              </w:rPr>
              <w:t xml:space="preserve">Début de création</w:t>
            </w:r>
          </w:p>
        </w:tc>
        <w:tc>
          <w:tcPr>
            <w:tcW w:type="dxa" w:w="61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2"/>
                <w:szCs w:val="22"/>
              </w:rPr>
              <w:t xml:space="preserve">5 juin 2026</w:t>
            </w:r>
          </w:p>
        </w:tc>
      </w:tr>
      <w:tr>
        <w:tc>
          <w:tcPr>
            <w:tcW w:type="dxa" w:w="3200"/>
            <w:tcBorders>
              <w:top w:val="single" w:color="CCCCCC" w:sz="1"/>
              <w:left w:val="single" w:color="CCCCCC" w:sz="1"/>
              <w:bottom w:val="single" w:color="CCCCCC" w:sz="1"/>
              <w:right w:val="single" w:color="CCCCCC" w:sz="1"/>
            </w:tcBorders>
            <w:shd w:fill="E8F0FB" w:val="clear"/>
            <w:tcMar>
              <w:top w:type="dxa" w:w="80"/>
              <w:left w:type="dxa" w:w="120"/>
              <w:bottom w:type="dxa" w:w="80"/>
              <w:right w:type="dxa" w:w="120"/>
            </w:tcMar>
          </w:tcPr>
          <w:p>
            <w:r>
              <w:rPr>
                <w:rFonts w:ascii="Arial" w:cs="Arial" w:eastAsia="Arial" w:hAnsi="Arial"/>
                <w:b/>
                <w:bCs/>
                <w:sz w:val="22"/>
                <w:szCs w:val="22"/>
              </w:rPr>
              <w:t xml:space="preserve">Date limite de dépôt</w:t>
            </w:r>
          </w:p>
        </w:tc>
        <w:tc>
          <w:tcPr>
            <w:tcW w:type="dxa" w:w="61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2"/>
                <w:szCs w:val="22"/>
              </w:rPr>
              <w:t xml:space="preserve">31 août 2026</w:t>
            </w:r>
          </w:p>
        </w:tc>
      </w:tr>
      <w:tr>
        <w:tc>
          <w:tcPr>
            <w:tcW w:type="dxa" w:w="3200"/>
            <w:tcBorders>
              <w:top w:val="single" w:color="CCCCCC" w:sz="1"/>
              <w:left w:val="single" w:color="CCCCCC" w:sz="1"/>
              <w:bottom w:val="single" w:color="CCCCCC" w:sz="1"/>
              <w:right w:val="single" w:color="CCCCCC" w:sz="1"/>
            </w:tcBorders>
            <w:shd w:fill="E8F0FB" w:val="clear"/>
            <w:tcMar>
              <w:top w:type="dxa" w:w="80"/>
              <w:left w:type="dxa" w:w="120"/>
              <w:bottom w:type="dxa" w:w="80"/>
              <w:right w:type="dxa" w:w="120"/>
            </w:tcMar>
          </w:tcPr>
          <w:p>
            <w:r>
              <w:rPr>
                <w:rFonts w:ascii="Arial" w:cs="Arial" w:eastAsia="Arial" w:hAnsi="Arial"/>
                <w:b/>
                <w:bCs/>
                <w:sz w:val="22"/>
                <w:szCs w:val="22"/>
              </w:rPr>
              <w:t xml:space="preserve">Annonce des résultats</w:t>
            </w:r>
          </w:p>
        </w:tc>
        <w:tc>
          <w:tcPr>
            <w:tcW w:type="dxa" w:w="61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2"/>
                <w:szCs w:val="22"/>
              </w:rPr>
              <w:t xml:space="preserve">15 octobre 2026</w:t>
            </w:r>
          </w:p>
        </w:tc>
      </w:tr>
      <w:tr>
        <w:tc>
          <w:tcPr>
            <w:tcW w:type="dxa" w:w="3200"/>
            <w:tcBorders>
              <w:top w:val="single" w:color="CCCCCC" w:sz="1"/>
              <w:left w:val="single" w:color="CCCCCC" w:sz="1"/>
              <w:bottom w:val="single" w:color="CCCCCC" w:sz="1"/>
              <w:right w:val="single" w:color="CCCCCC" w:sz="1"/>
            </w:tcBorders>
            <w:shd w:fill="E8F0FB" w:val="clear"/>
            <w:tcMar>
              <w:top w:type="dxa" w:w="80"/>
              <w:left w:type="dxa" w:w="120"/>
              <w:bottom w:type="dxa" w:w="80"/>
              <w:right w:type="dxa" w:w="120"/>
            </w:tcMar>
          </w:tcPr>
          <w:p>
            <w:r>
              <w:rPr>
                <w:rFonts w:ascii="Arial" w:cs="Arial" w:eastAsia="Arial" w:hAnsi="Arial"/>
                <w:b/>
                <w:bCs/>
                <w:sz w:val="22"/>
                <w:szCs w:val="22"/>
              </w:rPr>
              <w:t xml:space="preserve">BD Academy (finalisation)</w:t>
            </w:r>
          </w:p>
        </w:tc>
        <w:tc>
          <w:tcPr>
            <w:tcW w:type="dxa" w:w="61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2"/>
                <w:szCs w:val="22"/>
              </w:rPr>
              <w:t xml:space="preserve">Sur convocation après résultats (Brazzaville)</w:t>
            </w:r>
          </w:p>
        </w:tc>
      </w:tr>
    </w:tbl>
    <w:p>
      <w:pPr>
        <w:pBdr>
          <w:bottom w:val="single" w:color="2E6DA4" w:sz="4" w:space="1"/>
        </w:pBdr>
        <w:spacing w:before="160" w:after="160"/>
      </w:pPr>
    </w:p>
    <w:p>
      <w:pPr>
        <w:pStyle w:val="Heading1"/>
        <w:spacing w:before="320" w:after="120"/>
      </w:pPr>
      <w:r>
        <w:rPr>
          <w:rFonts w:ascii="Arial" w:cs="Arial" w:eastAsia="Arial" w:hAnsi="Arial"/>
          <w:b/>
          <w:bCs/>
          <w:color w:val="1A3A5C"/>
          <w:sz w:val="28"/>
          <w:szCs w:val="28"/>
        </w:rPr>
        <w:t xml:space="preserve">Article 3 – Conditions de participation</w:t>
      </w:r>
    </w:p>
    <w:p>
      <w:pPr>
        <w:spacing w:before="80" w:after="80"/>
        <w:jc w:val="both"/>
      </w:pPr>
      <w:r>
        <w:rPr>
          <w:rFonts w:ascii="Arial" w:cs="Arial" w:eastAsia="Arial" w:hAnsi="Arial"/>
          <w:sz w:val="22"/>
          <w:szCs w:val="22"/>
        </w:rPr>
        <w:t xml:space="preserve">La participation au concours est ouverte à toute personne physique :</w:t>
      </w:r>
    </w:p>
    <w:p>
      <w:pPr>
        <w:pStyle w:val="ListParagraph"/>
        <w:numPr>
          <w:ilvl w:val="0"/>
          <w:numId w:val="2"/>
        </w:numPr>
        <w:spacing w:before="60" w:after="60"/>
      </w:pPr>
      <w:r>
        <w:rPr>
          <w:rFonts w:ascii="Arial" w:cs="Arial" w:eastAsia="Arial" w:hAnsi="Arial"/>
          <w:sz w:val="22"/>
          <w:szCs w:val="22"/>
        </w:rPr>
        <w:t xml:space="preserve">Agée de 12 ans ou plus au moment de l’inscription</w:t>
      </w:r>
    </w:p>
    <w:p>
      <w:pPr>
        <w:pStyle w:val="ListParagraph"/>
        <w:numPr>
          <w:ilvl w:val="0"/>
          <w:numId w:val="2"/>
        </w:numPr>
        <w:spacing w:before="60" w:after="60"/>
      </w:pPr>
      <w:r>
        <w:rPr>
          <w:rFonts w:ascii="Arial" w:cs="Arial" w:eastAsia="Arial" w:hAnsi="Arial"/>
          <w:sz w:val="22"/>
          <w:szCs w:val="22"/>
        </w:rPr>
        <w:t xml:space="preserve">Résidant en République du Congo ou en République Démocratique du Congo</w:t>
      </w:r>
    </w:p>
    <w:p>
      <w:pPr>
        <w:pStyle w:val="ListParagraph"/>
        <w:numPr>
          <w:ilvl w:val="0"/>
          <w:numId w:val="2"/>
        </w:numPr>
        <w:spacing w:before="60" w:after="60"/>
      </w:pPr>
      <w:r>
        <w:rPr>
          <w:rFonts w:ascii="Arial" w:cs="Arial" w:eastAsia="Arial" w:hAnsi="Arial"/>
          <w:sz w:val="22"/>
          <w:szCs w:val="22"/>
        </w:rPr>
        <w:t xml:space="preserve">Ayant réglé les frais d’inscription de 7 500 FCFA (soit 15 USD)</w:t>
      </w:r>
    </w:p>
    <w:p>
      <w:pPr>
        <w:spacing w:before="80" w:after="80"/>
        <w:jc w:val="both"/>
      </w:pPr>
      <w:r>
        <w:rPr>
          <w:rFonts w:ascii="Arial" w:cs="Arial" w:eastAsia="Arial" w:hAnsi="Arial"/>
          <w:sz w:val="22"/>
          <w:szCs w:val="22"/>
        </w:rPr>
        <w:t xml:space="preserve"/>
      </w:r>
    </w:p>
    <w:p>
      <w:pPr>
        <w:spacing w:before="80" w:after="80"/>
        <w:jc w:val="both"/>
      </w:pPr>
      <w:r>
        <w:rPr>
          <w:rFonts w:ascii="Arial" w:cs="Arial" w:eastAsia="Arial" w:hAnsi="Arial"/>
          <w:sz w:val="22"/>
          <w:szCs w:val="22"/>
        </w:rPr>
        <w:t xml:space="preserve">Les participants peuvent concourir :</w:t>
      </w:r>
    </w:p>
    <w:p>
      <w:pPr>
        <w:pStyle w:val="ListParagraph"/>
        <w:numPr>
          <w:ilvl w:val="0"/>
          <w:numId w:val="2"/>
        </w:numPr>
        <w:spacing w:before="60" w:after="60"/>
      </w:pPr>
      <w:r>
        <w:rPr>
          <w:rFonts w:ascii="Arial" w:cs="Arial" w:eastAsia="Arial" w:hAnsi="Arial"/>
          <w:sz w:val="22"/>
          <w:szCs w:val="22"/>
        </w:rPr>
        <w:t xml:space="preserve">En solo (un auteur seul)</w:t>
      </w:r>
    </w:p>
    <w:p>
      <w:pPr>
        <w:pStyle w:val="ListParagraph"/>
        <w:numPr>
          <w:ilvl w:val="0"/>
          <w:numId w:val="2"/>
        </w:numPr>
        <w:spacing w:before="60" w:after="60"/>
      </w:pPr>
      <w:r>
        <w:rPr>
          <w:rFonts w:ascii="Arial" w:cs="Arial" w:eastAsia="Arial" w:hAnsi="Arial"/>
          <w:sz w:val="22"/>
          <w:szCs w:val="22"/>
        </w:rPr>
        <w:t xml:space="preserve">En binôme (ex. : scénariste + dessinateur)</w:t>
      </w:r>
    </w:p>
    <w:p>
      <w:pPr>
        <w:pStyle w:val="ListParagraph"/>
        <w:numPr>
          <w:ilvl w:val="0"/>
          <w:numId w:val="2"/>
        </w:numPr>
        <w:spacing w:before="60" w:after="60"/>
      </w:pPr>
      <w:r>
        <w:rPr>
          <w:rFonts w:ascii="Arial" w:cs="Arial" w:eastAsia="Arial" w:hAnsi="Arial"/>
          <w:sz w:val="22"/>
          <w:szCs w:val="22"/>
        </w:rPr>
        <w:t xml:space="preserve">Uniquement en solo ou en binôme (équipes de 3 personnes ou plus non admises)</w:t>
      </w:r>
    </w:p>
    <w:p>
      <w:pPr>
        <w:spacing w:before="80" w:after="80"/>
        <w:jc w:val="both"/>
      </w:pPr>
      <w:r>
        <w:rPr>
          <w:rFonts w:ascii="Arial" w:cs="Arial" w:eastAsia="Arial" w:hAnsi="Arial"/>
          <w:sz w:val="22"/>
          <w:szCs w:val="22"/>
        </w:rPr>
        <w:t xml:space="preserve"/>
      </w:r>
    </w:p>
    <w:p>
      <w:pPr>
        <w:spacing w:before="80" w:after="80"/>
        <w:jc w:val="both"/>
      </w:pPr>
      <w:r>
        <w:rPr>
          <w:rFonts w:ascii="Arial" w:cs="Arial" w:eastAsia="Arial" w:hAnsi="Arial"/>
          <w:sz w:val="22"/>
          <w:szCs w:val="22"/>
        </w:rPr>
        <w:t xml:space="preserve">En cas de participation d’un mineur (personne âgée de moins de 18 ans), le formulaire d’inscription doit être signé par son représentant légal (parent ou tuteur), qui donne son autorisation expresse de participation et de publication.</w:t>
      </w:r>
    </w:p>
    <w:p>
      <w:pPr>
        <w:spacing w:before="80" w:after="80"/>
        <w:jc w:val="both"/>
      </w:pPr>
      <w:r>
        <w:rPr>
          <w:rFonts w:ascii="Arial" w:cs="Arial" w:eastAsia="Arial" w:hAnsi="Arial"/>
          <w:sz w:val="22"/>
          <w:szCs w:val="22"/>
        </w:rPr>
        <w:t xml:space="preserve">Le concours est invalidé si le nombre de participants inscrits n’atteint pas le minimum requis de 15 participants. Dans ce cas, les frais d’inscription sont intégralement remboursés.</w:t>
      </w:r>
    </w:p>
    <w:p>
      <w:pPr>
        <w:pBdr>
          <w:bottom w:val="single" w:color="2E6DA4" w:sz="4" w:space="1"/>
        </w:pBdr>
        <w:spacing w:before="160" w:after="160"/>
      </w:pPr>
    </w:p>
    <w:p>
      <w:pPr>
        <w:pStyle w:val="Heading1"/>
        <w:spacing w:before="320" w:after="120"/>
      </w:pPr>
      <w:r>
        <w:rPr>
          <w:rFonts w:ascii="Arial" w:cs="Arial" w:eastAsia="Arial" w:hAnsi="Arial"/>
          <w:b/>
          <w:bCs/>
          <w:color w:val="1A3A5C"/>
          <w:sz w:val="28"/>
          <w:szCs w:val="28"/>
        </w:rPr>
        <w:t xml:space="preserve">Article 4 – Inscription</w:t>
      </w:r>
    </w:p>
    <w:p>
      <w:pPr>
        <w:spacing w:before="80" w:after="80"/>
        <w:jc w:val="both"/>
      </w:pPr>
      <w:r>
        <w:rPr>
          <w:rFonts w:ascii="Arial" w:cs="Arial" w:eastAsia="Arial" w:hAnsi="Arial"/>
          <w:sz w:val="22"/>
          <w:szCs w:val="22"/>
        </w:rPr>
        <w:t xml:space="preserve">Les inscriptions se font en ligne sur le site de Graphik’noir. Chaque participant ou chef d’équipe devra :</w:t>
      </w:r>
    </w:p>
    <w:p>
      <w:pPr>
        <w:pStyle w:val="ListParagraph"/>
        <w:numPr>
          <w:ilvl w:val="0"/>
          <w:numId w:val="3"/>
        </w:numPr>
        <w:spacing w:before="60" w:after="60"/>
      </w:pPr>
      <w:r>
        <w:rPr>
          <w:rFonts w:ascii="Arial" w:cs="Arial" w:eastAsia="Arial" w:hAnsi="Arial"/>
          <w:sz w:val="22"/>
          <w:szCs w:val="22"/>
        </w:rPr>
        <w:t xml:space="preserve">Remplir le formulaire d’inscription en ligne</w:t>
      </w:r>
    </w:p>
    <w:p>
      <w:pPr>
        <w:pStyle w:val="ListParagraph"/>
        <w:numPr>
          <w:ilvl w:val="0"/>
          <w:numId w:val="3"/>
        </w:numPr>
        <w:spacing w:before="60" w:after="60"/>
      </w:pPr>
      <w:r>
        <w:rPr>
          <w:rFonts w:ascii="Arial" w:cs="Arial" w:eastAsia="Arial" w:hAnsi="Arial"/>
          <w:sz w:val="22"/>
          <w:szCs w:val="22"/>
        </w:rPr>
        <w:t xml:space="preserve">Régler les frais d’inscription de 7 500 FCFA (soit 15 USD) par les moyens précisés sur le site</w:t>
      </w:r>
    </w:p>
    <w:p>
      <w:pPr>
        <w:pStyle w:val="ListParagraph"/>
        <w:numPr>
          <w:ilvl w:val="0"/>
          <w:numId w:val="3"/>
        </w:numPr>
        <w:spacing w:before="60" w:after="60"/>
      </w:pPr>
      <w:r>
        <w:rPr>
          <w:rFonts w:ascii="Arial" w:cs="Arial" w:eastAsia="Arial" w:hAnsi="Arial"/>
          <w:sz w:val="22"/>
          <w:szCs w:val="22"/>
        </w:rPr>
        <w:t xml:space="preserve">Joindre une copie de pièce d’identité ou, pour les mineurs, une autorisation parentale signée</w:t>
      </w:r>
    </w:p>
    <w:p>
      <w:pPr>
        <w:spacing w:before="80" w:after="80"/>
        <w:jc w:val="both"/>
      </w:pPr>
      <w:r>
        <w:rPr>
          <w:rFonts w:ascii="Arial" w:cs="Arial" w:eastAsia="Arial" w:hAnsi="Arial"/>
          <w:sz w:val="22"/>
          <w:szCs w:val="22"/>
        </w:rPr>
        <w:t xml:space="preserve"/>
      </w:r>
    </w:p>
    <w:p>
      <w:pPr>
        <w:spacing w:before="80" w:after="80"/>
        <w:jc w:val="both"/>
      </w:pPr>
      <w:r>
        <w:rPr>
          <w:rFonts w:ascii="Arial" w:cs="Arial" w:eastAsia="Arial" w:hAnsi="Arial"/>
          <w:sz w:val="22"/>
          <w:szCs w:val="22"/>
        </w:rPr>
        <w:t xml:space="preserve">Les frais d’inscription sont non remboursables sauf en cas d’annulation du concours pour non-atteinte du seuil minimum (article 3).</w:t>
      </w:r>
    </w:p>
    <w:p>
      <w:pPr>
        <w:pBdr>
          <w:bottom w:val="single" w:color="2E6DA4" w:sz="4" w:space="1"/>
        </w:pBdr>
        <w:spacing w:before="160" w:after="160"/>
      </w:pPr>
    </w:p>
    <w:p>
      <w:pPr>
        <w:pStyle w:val="Heading1"/>
        <w:spacing w:before="320" w:after="120"/>
      </w:pPr>
      <w:r>
        <w:rPr>
          <w:rFonts w:ascii="Arial" w:cs="Arial" w:eastAsia="Arial" w:hAnsi="Arial"/>
          <w:b/>
          <w:bCs/>
          <w:color w:val="1A3A5C"/>
          <w:sz w:val="28"/>
          <w:szCs w:val="28"/>
        </w:rPr>
        <w:t xml:space="preserve">Article 5 – Livrables attendus</w:t>
      </w:r>
    </w:p>
    <w:p>
      <w:pPr>
        <w:spacing w:before="80" w:after="80"/>
        <w:jc w:val="both"/>
      </w:pPr>
      <w:r>
        <w:rPr>
          <w:rFonts w:ascii="Arial" w:cs="Arial" w:eastAsia="Arial" w:hAnsi="Arial"/>
          <w:sz w:val="22"/>
          <w:szCs w:val="22"/>
        </w:rPr>
        <w:t xml:space="preserve">Chaque participant ou équipe devra soumettre, avant le 31 août 2026 à minuit, les éléments suivants :</w:t>
      </w:r>
    </w:p>
    <w:p>
      <w:pPr>
        <w:spacing w:before="80" w:after="80"/>
        <w:jc w:val="both"/>
      </w:pPr>
      <w:r>
        <w:rPr>
          <w:rFonts w:ascii="Arial" w:cs="Arial" w:eastAsia="Arial" w:hAnsi="Arial"/>
          <w:sz w:val="22"/>
          <w:szCs w:val="22"/>
        </w:rPr>
        <w:t xml:space="preserve"/>
      </w:r>
    </w:p>
    <w:p>
      <w:pPr>
        <w:pStyle w:val="Heading2"/>
        <w:spacing w:before="240" w:after="80"/>
      </w:pPr>
      <w:r>
        <w:rPr>
          <w:rFonts w:ascii="Arial" w:cs="Arial" w:eastAsia="Arial" w:hAnsi="Arial"/>
          <w:b/>
          <w:bCs/>
          <w:color w:val="2E6DA4"/>
          <w:sz w:val="24"/>
          <w:szCs w:val="24"/>
        </w:rPr>
        <w:t xml:space="preserve">5.1 – Storyboard complet</w:t>
      </w:r>
    </w:p>
    <w:p>
      <w:pPr>
        <w:pStyle w:val="ListParagraph"/>
        <w:numPr>
          <w:ilvl w:val="0"/>
          <w:numId w:val="2"/>
        </w:numPr>
        <w:spacing w:before="60" w:after="60"/>
      </w:pPr>
      <w:r>
        <w:rPr>
          <w:rFonts w:ascii="Arial" w:cs="Arial" w:eastAsia="Arial" w:hAnsi="Arial"/>
          <w:sz w:val="22"/>
          <w:szCs w:val="22"/>
        </w:rPr>
        <w:t xml:space="preserve">49 pages de crayonné abouti, dialogues obligatoirement intégrés</w:t>
      </w:r>
    </w:p>
    <w:p>
      <w:pPr>
        <w:pStyle w:val="ListParagraph"/>
        <w:numPr>
          <w:ilvl w:val="0"/>
          <w:numId w:val="2"/>
        </w:numPr>
        <w:spacing w:before="60" w:after="60"/>
      </w:pPr>
      <w:r>
        <w:rPr>
          <w:rFonts w:ascii="Arial" w:cs="Arial" w:eastAsia="Arial" w:hAnsi="Arial"/>
          <w:sz w:val="22"/>
          <w:szCs w:val="22"/>
        </w:rPr>
        <w:t xml:space="preserve">Format : A4 minimum</w:t>
      </w:r>
    </w:p>
    <w:p>
      <w:pPr>
        <w:pStyle w:val="ListParagraph"/>
        <w:numPr>
          <w:ilvl w:val="0"/>
          <w:numId w:val="2"/>
        </w:numPr>
        <w:spacing w:before="60" w:after="60"/>
      </w:pPr>
      <w:r>
        <w:rPr>
          <w:rFonts w:ascii="Arial" w:cs="Arial" w:eastAsia="Arial" w:hAnsi="Arial"/>
          <w:sz w:val="22"/>
          <w:szCs w:val="22"/>
        </w:rPr>
        <w:t xml:space="preserve">L’histoire doit être complète du début à la fin</w:t>
      </w:r>
    </w:p>
    <w:p>
      <w:pPr>
        <w:pStyle w:val="ListParagraph"/>
        <w:numPr>
          <w:ilvl w:val="0"/>
          <w:numId w:val="2"/>
        </w:numPr>
        <w:spacing w:before="60" w:after="60"/>
      </w:pPr>
      <w:r>
        <w:rPr>
          <w:rFonts w:ascii="Arial" w:cs="Arial" w:eastAsia="Arial" w:hAnsi="Arial"/>
          <w:sz w:val="22"/>
          <w:szCs w:val="22"/>
        </w:rPr>
        <w:t xml:space="preserve">Thème imposé : choisir UN des 3 thèmes — Passé (Kimpavita, Royaume Kongo) / Présent (Le Pont des Congo) / Futur (Brakin City, Congo 3050)</w:t>
      </w:r>
    </w:p>
    <w:p>
      <w:pPr>
        <w:spacing w:before="80" w:after="80"/>
        <w:jc w:val="both"/>
      </w:pPr>
      <w:r>
        <w:rPr>
          <w:rFonts w:ascii="Arial" w:cs="Arial" w:eastAsia="Arial" w:hAnsi="Arial"/>
          <w:sz w:val="22"/>
          <w:szCs w:val="22"/>
        </w:rPr>
        <w:t xml:space="preserve"/>
      </w:r>
    </w:p>
    <w:p>
      <w:pPr>
        <w:pStyle w:val="Heading2"/>
        <w:spacing w:before="240" w:after="80"/>
      </w:pPr>
      <w:r>
        <w:rPr>
          <w:rFonts w:ascii="Arial" w:cs="Arial" w:eastAsia="Arial" w:hAnsi="Arial"/>
          <w:b/>
          <w:bCs/>
          <w:color w:val="2E6DA4"/>
          <w:sz w:val="24"/>
          <w:szCs w:val="24"/>
        </w:rPr>
        <w:t xml:space="preserve">5.2 – Extrait finalisé</w:t>
      </w:r>
    </w:p>
    <w:p>
      <w:pPr>
        <w:pStyle w:val="ListParagraph"/>
        <w:numPr>
          <w:ilvl w:val="0"/>
          <w:numId w:val="2"/>
        </w:numPr>
        <w:spacing w:before="60" w:after="60"/>
      </w:pPr>
      <w:r>
        <w:rPr>
          <w:rFonts w:ascii="Arial" w:cs="Arial" w:eastAsia="Arial" w:hAnsi="Arial"/>
          <w:sz w:val="22"/>
          <w:szCs w:val="22"/>
        </w:rPr>
        <w:t xml:space="preserve">Pour une œuvre en noir et blanc : 5 pages intégralement encrées et finalisées</w:t>
      </w:r>
    </w:p>
    <w:p>
      <w:pPr>
        <w:pStyle w:val="ListParagraph"/>
        <w:numPr>
          <w:ilvl w:val="0"/>
          <w:numId w:val="2"/>
        </w:numPr>
        <w:spacing w:before="60" w:after="60"/>
      </w:pPr>
      <w:r>
        <w:rPr>
          <w:rFonts w:ascii="Arial" w:cs="Arial" w:eastAsia="Arial" w:hAnsi="Arial"/>
          <w:sz w:val="22"/>
          <w:szCs w:val="22"/>
        </w:rPr>
        <w:t xml:space="preserve">Pour une œuvre en couleurs : 3 pages complètement colorées et finalisées</w:t>
      </w:r>
    </w:p>
    <w:p>
      <w:pPr>
        <w:pStyle w:val="ListParagraph"/>
        <w:numPr>
          <w:ilvl w:val="0"/>
          <w:numId w:val="2"/>
        </w:numPr>
        <w:spacing w:before="60" w:after="60"/>
      </w:pPr>
      <w:r>
        <w:rPr>
          <w:rFonts w:ascii="Arial" w:cs="Arial" w:eastAsia="Arial" w:hAnsi="Arial"/>
          <w:sz w:val="22"/>
          <w:szCs w:val="22"/>
        </w:rPr>
        <w:t xml:space="preserve">Ces pages doivent être extraites du storyboard soumis</w:t>
      </w:r>
    </w:p>
    <w:p>
      <w:pPr>
        <w:pStyle w:val="ListParagraph"/>
        <w:numPr>
          <w:ilvl w:val="0"/>
          <w:numId w:val="2"/>
        </w:numPr>
        <w:spacing w:before="60" w:after="60"/>
      </w:pPr>
      <w:r>
        <w:rPr>
          <w:rFonts w:ascii="Arial" w:cs="Arial" w:eastAsia="Arial" w:hAnsi="Arial"/>
          <w:sz w:val="22"/>
          <w:szCs w:val="22"/>
        </w:rPr>
        <w:t xml:space="preserve">Qualité attendue : niveau de rendu publiable</w:t>
      </w:r>
    </w:p>
    <w:p>
      <w:pPr>
        <w:spacing w:before="80" w:after="80"/>
        <w:jc w:val="both"/>
      </w:pPr>
      <w:r>
        <w:rPr>
          <w:rFonts w:ascii="Arial" w:cs="Arial" w:eastAsia="Arial" w:hAnsi="Arial"/>
          <w:sz w:val="22"/>
          <w:szCs w:val="22"/>
        </w:rPr>
        <w:t xml:space="preserve"/>
      </w:r>
    </w:p>
    <w:p>
      <w:pPr>
        <w:pStyle w:val="Heading2"/>
        <w:spacing w:before="240" w:after="80"/>
      </w:pPr>
      <w:r>
        <w:rPr>
          <w:rFonts w:ascii="Arial" w:cs="Arial" w:eastAsia="Arial" w:hAnsi="Arial"/>
          <w:b/>
          <w:bCs/>
          <w:color w:val="2E6DA4"/>
          <w:sz w:val="24"/>
          <w:szCs w:val="24"/>
        </w:rPr>
        <w:t xml:space="preserve">5.3 – Modalités de dépôt</w:t>
      </w:r>
    </w:p>
    <w:p>
      <w:pPr>
        <w:spacing w:before="80" w:after="80"/>
        <w:jc w:val="both"/>
      </w:pPr>
      <w:r>
        <w:rPr>
          <w:rFonts w:ascii="Arial" w:cs="Arial" w:eastAsia="Arial" w:hAnsi="Arial"/>
          <w:sz w:val="22"/>
          <w:szCs w:val="22"/>
        </w:rPr>
        <w:t xml:space="preserve">Pour les participants résidant à Brazzaville, deux options sont disponibles :</w:t>
      </w:r>
    </w:p>
    <w:p>
      <w:pPr>
        <w:pStyle w:val="ListParagraph"/>
        <w:numPr>
          <w:ilvl w:val="0"/>
          <w:numId w:val="2"/>
        </w:numPr>
        <w:spacing w:before="60" w:after="60"/>
      </w:pPr>
      <w:r>
        <w:rPr>
          <w:rFonts w:ascii="Arial" w:cs="Arial" w:eastAsia="Arial" w:hAnsi="Arial"/>
          <w:sz w:val="22"/>
          <w:szCs w:val="22"/>
        </w:rPr>
        <w:t xml:space="preserve">Dépôt physique au siège de Graphik’noir : 964 rue Mandzomo, Plateau des 15 ans, Brazzaville, Congo</w:t>
      </w:r>
    </w:p>
    <w:p>
      <w:pPr>
        <w:pStyle w:val="ListParagraph"/>
        <w:numPr>
          <w:ilvl w:val="0"/>
          <w:numId w:val="2"/>
        </w:numPr>
        <w:spacing w:before="60" w:after="60"/>
      </w:pPr>
      <w:r>
        <w:rPr>
          <w:rFonts w:ascii="Arial" w:cs="Arial" w:eastAsia="Arial" w:hAnsi="Arial"/>
          <w:sz w:val="22"/>
          <w:szCs w:val="22"/>
        </w:rPr>
        <w:t xml:space="preserve">Dépôt en ligne via le site de Graphik’noir</w:t>
      </w:r>
    </w:p>
    <w:p>
      <w:pPr>
        <w:spacing w:before="80" w:after="80"/>
        <w:jc w:val="both"/>
      </w:pPr>
      <w:r>
        <w:rPr>
          <w:rFonts w:ascii="Arial" w:cs="Arial" w:eastAsia="Arial" w:hAnsi="Arial"/>
          <w:sz w:val="22"/>
          <w:szCs w:val="22"/>
        </w:rPr>
        <w:t xml:space="preserve">Pour les participants résidant à Kinshasa ou en République Démocratique du Congo, le dépôt se fait exclusivement en ligne.</w:t>
      </w:r>
    </w:p>
    <w:p>
      <w:pPr>
        <w:spacing w:before="80" w:after="80"/>
        <w:jc w:val="both"/>
      </w:pPr>
      <w:r>
        <w:rPr>
          <w:rFonts w:ascii="Arial" w:cs="Arial" w:eastAsia="Arial" w:hAnsi="Arial"/>
          <w:sz w:val="22"/>
          <w:szCs w:val="22"/>
        </w:rPr>
        <w:t xml:space="preserve">Dans tous les cas, les fichiers numérisés doivent être en haute résolution (minimum 300 dpi), au format PDF ou JPG. Tout dossier incomplet ou soumis hors délai sera automatiquement disqualifié.</w:t>
      </w:r>
    </w:p>
    <w:p>
      <w:pPr>
        <w:pBdr>
          <w:bottom w:val="single" w:color="2E6DA4" w:sz="4" w:space="1"/>
        </w:pBdr>
        <w:spacing w:before="160" w:after="160"/>
      </w:pPr>
    </w:p>
    <w:p>
      <w:pPr>
        <w:pStyle w:val="Heading1"/>
        <w:spacing w:before="320" w:after="120"/>
      </w:pPr>
      <w:r>
        <w:rPr>
          <w:rFonts w:ascii="Arial" w:cs="Arial" w:eastAsia="Arial" w:hAnsi="Arial"/>
          <w:b/>
          <w:bCs/>
          <w:color w:val="1A3A5C"/>
          <w:sz w:val="28"/>
          <w:szCs w:val="28"/>
        </w:rPr>
        <w:t xml:space="preserve">Article 6 – Sélection et jury</w:t>
      </w:r>
    </w:p>
    <w:p>
      <w:pPr>
        <w:spacing w:before="80" w:after="80"/>
        <w:jc w:val="both"/>
      </w:pPr>
      <w:r>
        <w:rPr>
          <w:rFonts w:ascii="Arial" w:cs="Arial" w:eastAsia="Arial" w:hAnsi="Arial"/>
          <w:sz w:val="22"/>
          <w:szCs w:val="22"/>
        </w:rPr>
        <w:t xml:space="preserve">L’évaluation des dossiers est assurée par Graphik’noir, qui désigne les membres du jury en interne. Les critères de sélection portent notamment sur :</w:t>
      </w:r>
    </w:p>
    <w:p>
      <w:pPr>
        <w:pStyle w:val="ListParagraph"/>
        <w:numPr>
          <w:ilvl w:val="0"/>
          <w:numId w:val="2"/>
        </w:numPr>
        <w:spacing w:before="60" w:after="60"/>
      </w:pPr>
      <w:r>
        <w:rPr>
          <w:rFonts w:ascii="Arial" w:cs="Arial" w:eastAsia="Arial" w:hAnsi="Arial"/>
          <w:sz w:val="22"/>
          <w:szCs w:val="22"/>
        </w:rPr>
        <w:t xml:space="preserve">La qualité narrative et scénaristique de l’histoire</w:t>
      </w:r>
    </w:p>
    <w:p>
      <w:pPr>
        <w:pStyle w:val="ListParagraph"/>
        <w:numPr>
          <w:ilvl w:val="0"/>
          <w:numId w:val="2"/>
        </w:numPr>
        <w:spacing w:before="60" w:after="60"/>
      </w:pPr>
      <w:r>
        <w:rPr>
          <w:rFonts w:ascii="Arial" w:cs="Arial" w:eastAsia="Arial" w:hAnsi="Arial"/>
          <w:sz w:val="22"/>
          <w:szCs w:val="22"/>
        </w:rPr>
        <w:t xml:space="preserve">La cohérence et la lisibilité du storyboard</w:t>
      </w:r>
    </w:p>
    <w:p>
      <w:pPr>
        <w:pStyle w:val="ListParagraph"/>
        <w:numPr>
          <w:ilvl w:val="0"/>
          <w:numId w:val="2"/>
        </w:numPr>
        <w:spacing w:before="60" w:after="60"/>
      </w:pPr>
      <w:r>
        <w:rPr>
          <w:rFonts w:ascii="Arial" w:cs="Arial" w:eastAsia="Arial" w:hAnsi="Arial"/>
          <w:sz w:val="22"/>
          <w:szCs w:val="22"/>
        </w:rPr>
        <w:t xml:space="preserve">La qualité graphique des pages encrées</w:t>
      </w:r>
    </w:p>
    <w:p>
      <w:pPr>
        <w:pStyle w:val="ListParagraph"/>
        <w:numPr>
          <w:ilvl w:val="0"/>
          <w:numId w:val="2"/>
        </w:numPr>
        <w:spacing w:before="60" w:after="60"/>
      </w:pPr>
      <w:r>
        <w:rPr>
          <w:rFonts w:ascii="Arial" w:cs="Arial" w:eastAsia="Arial" w:hAnsi="Arial"/>
          <w:sz w:val="22"/>
          <w:szCs w:val="22"/>
        </w:rPr>
        <w:t xml:space="preserve">L’originalité et le potentiel de publication</w:t>
      </w:r>
    </w:p>
    <w:p>
      <w:pPr>
        <w:spacing w:before="80" w:after="80"/>
        <w:jc w:val="both"/>
      </w:pPr>
      <w:r>
        <w:rPr>
          <w:rFonts w:ascii="Arial" w:cs="Arial" w:eastAsia="Arial" w:hAnsi="Arial"/>
          <w:sz w:val="22"/>
          <w:szCs w:val="22"/>
        </w:rPr>
        <w:t xml:space="preserve"/>
      </w:r>
    </w:p>
    <w:p>
      <w:pPr>
        <w:spacing w:before="80" w:after="80"/>
        <w:jc w:val="both"/>
      </w:pPr>
      <w:r>
        <w:rPr>
          <w:rFonts w:ascii="Arial" w:cs="Arial" w:eastAsia="Arial" w:hAnsi="Arial"/>
          <w:sz w:val="22"/>
          <w:szCs w:val="22"/>
        </w:rPr>
        <w:t xml:space="preserve">La décision du jury est souveraine et sans appel. Les résultats seront communiqués aux participants par les voies officielles de Graphik’noir.</w:t>
      </w:r>
    </w:p>
    <w:p>
      <w:pPr>
        <w:pBdr>
          <w:bottom w:val="single" w:color="2E6DA4" w:sz="4" w:space="1"/>
        </w:pBdr>
        <w:spacing w:before="160" w:after="160"/>
      </w:pPr>
    </w:p>
    <w:p>
      <w:pPr>
        <w:pStyle w:val="Heading1"/>
        <w:spacing w:before="320" w:after="120"/>
      </w:pPr>
      <w:r>
        <w:rPr>
          <w:rFonts w:ascii="Arial" w:cs="Arial" w:eastAsia="Arial" w:hAnsi="Arial"/>
          <w:b/>
          <w:bCs/>
          <w:color w:val="1A3A5C"/>
          <w:sz w:val="28"/>
          <w:szCs w:val="28"/>
        </w:rPr>
        <w:t xml:space="preserve">Article 7 – Prix et récompenses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200"/>
        <w:gridCol w:w="6160"/>
      </w:tblGrid>
      <w:tr>
        <w:tc>
          <w:tcPr>
            <w:tcW w:type="dxa" w:w="3200"/>
            <w:tcBorders>
              <w:top w:val="single" w:color="CCCCCC" w:sz="1"/>
              <w:left w:val="single" w:color="CCCCCC" w:sz="1"/>
              <w:bottom w:val="single" w:color="CCCCCC" w:sz="1"/>
              <w:right w:val="single" w:color="CCCCCC" w:sz="1"/>
            </w:tcBorders>
            <w:shd w:fill="E8F0FB" w:val="clear"/>
            <w:tcMar>
              <w:top w:type="dxa" w:w="80"/>
              <w:left w:type="dxa" w:w="120"/>
              <w:bottom w:type="dxa" w:w="80"/>
              <w:right w:type="dxa" w:w="120"/>
            </w:tcMar>
          </w:tcPr>
          <w:p>
            <w:r>
              <w:rPr>
                <w:rFonts w:ascii="Arial" w:cs="Arial" w:eastAsia="Arial" w:hAnsi="Arial"/>
                <w:b/>
                <w:bCs/>
                <w:sz w:val="22"/>
                <w:szCs w:val="22"/>
              </w:rPr>
              <w:t xml:space="preserve">1er prix</w:t>
            </w:r>
          </w:p>
        </w:tc>
        <w:tc>
          <w:tcPr>
            <w:tcW w:type="dxa" w:w="61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2"/>
                <w:szCs w:val="22"/>
              </w:rPr>
              <w:t xml:space="preserve">Tablette graphique professionnelle à écran intégré + Publication par Graphik’noir + Contrat d’édition + Certificat</w:t>
            </w:r>
          </w:p>
        </w:tc>
      </w:tr>
      <w:tr>
        <w:tc>
          <w:tcPr>
            <w:tcW w:type="dxa" w:w="3200"/>
            <w:tcBorders>
              <w:top w:val="single" w:color="CCCCCC" w:sz="1"/>
              <w:left w:val="single" w:color="CCCCCC" w:sz="1"/>
              <w:bottom w:val="single" w:color="CCCCCC" w:sz="1"/>
              <w:right w:val="single" w:color="CCCCCC" w:sz="1"/>
            </w:tcBorders>
            <w:shd w:fill="E8F0FB" w:val="clear"/>
            <w:tcMar>
              <w:top w:type="dxa" w:w="80"/>
              <w:left w:type="dxa" w:w="120"/>
              <w:bottom w:type="dxa" w:w="80"/>
              <w:right w:type="dxa" w:w="120"/>
            </w:tcMar>
          </w:tcPr>
          <w:p>
            <w:r>
              <w:rPr>
                <w:rFonts w:ascii="Arial" w:cs="Arial" w:eastAsia="Arial" w:hAnsi="Arial"/>
                <w:b/>
                <w:bCs/>
                <w:sz w:val="22"/>
                <w:szCs w:val="22"/>
              </w:rPr>
              <w:t xml:space="preserve">2e prix</w:t>
            </w:r>
          </w:p>
        </w:tc>
        <w:tc>
          <w:tcPr>
            <w:tcW w:type="dxa" w:w="61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2"/>
                <w:szCs w:val="22"/>
              </w:rPr>
              <w:t xml:space="preserve">Tablette tactile Android + Publication par Graphik’noir + Contrat d’édition + Certificat</w:t>
            </w:r>
          </w:p>
        </w:tc>
      </w:tr>
      <w:tr>
        <w:tc>
          <w:tcPr>
            <w:tcW w:type="dxa" w:w="3200"/>
            <w:tcBorders>
              <w:top w:val="single" w:color="CCCCCC" w:sz="1"/>
              <w:left w:val="single" w:color="CCCCCC" w:sz="1"/>
              <w:bottom w:val="single" w:color="CCCCCC" w:sz="1"/>
              <w:right w:val="single" w:color="CCCCCC" w:sz="1"/>
            </w:tcBorders>
            <w:shd w:fill="E8F0FB" w:val="clear"/>
            <w:tcMar>
              <w:top w:type="dxa" w:w="80"/>
              <w:left w:type="dxa" w:w="120"/>
              <w:bottom w:type="dxa" w:w="80"/>
              <w:right w:type="dxa" w:w="120"/>
            </w:tcMar>
          </w:tcPr>
          <w:p>
            <w:r>
              <w:rPr>
                <w:rFonts w:ascii="Arial" w:cs="Arial" w:eastAsia="Arial" w:hAnsi="Arial"/>
                <w:b/>
                <w:bCs/>
                <w:sz w:val="22"/>
                <w:szCs w:val="22"/>
              </w:rPr>
              <w:t xml:space="preserve">3e prix</w:t>
            </w:r>
          </w:p>
        </w:tc>
        <w:tc>
          <w:tcPr>
            <w:tcW w:type="dxa" w:w="61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2"/>
                <w:szCs w:val="22"/>
              </w:rPr>
              <w:t xml:space="preserve">Tablette graphique simple (sans écran) + Publication par Graphik’noir + Contrat d’édition + Certificat</w:t>
            </w:r>
          </w:p>
        </w:tc>
      </w:tr>
      <w:tr>
        <w:tc>
          <w:tcPr>
            <w:tcW w:type="dxa" w:w="3200"/>
            <w:tcBorders>
              <w:top w:val="single" w:color="CCCCCC" w:sz="1"/>
              <w:left w:val="single" w:color="CCCCCC" w:sz="1"/>
              <w:bottom w:val="single" w:color="CCCCCC" w:sz="1"/>
              <w:right w:val="single" w:color="CCCCCC" w:sz="1"/>
            </w:tcBorders>
            <w:shd w:fill="E8F0FB" w:val="clear"/>
            <w:tcMar>
              <w:top w:type="dxa" w:w="80"/>
              <w:left w:type="dxa" w:w="120"/>
              <w:bottom w:type="dxa" w:w="80"/>
              <w:right w:type="dxa" w:w="120"/>
            </w:tcMar>
          </w:tcPr>
          <w:p>
            <w:r>
              <w:rPr>
                <w:rFonts w:ascii="Arial" w:cs="Arial" w:eastAsia="Arial" w:hAnsi="Arial"/>
                <w:b/>
                <w:bCs/>
                <w:sz w:val="22"/>
                <w:szCs w:val="22"/>
              </w:rPr>
              <w:t xml:space="preserve">BD Academy (top 3, Brazzaville)</w:t>
            </w:r>
          </w:p>
        </w:tc>
        <w:tc>
          <w:tcPr>
            <w:tcW w:type="dxa" w:w="61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2"/>
                <w:szCs w:val="22"/>
              </w:rPr>
              <w:t xml:space="preserve">Accès gratuit à la BD Academy (après les résultats) pour finaliser l’œuvre</w:t>
            </w:r>
          </w:p>
        </w:tc>
      </w:tr>
    </w:tbl>
    <w:p>
      <w:pPr>
        <w:spacing w:before="80" w:after="80"/>
        <w:jc w:val="both"/>
      </w:pPr>
      <w:r>
        <w:rPr>
          <w:rFonts w:ascii="Arial" w:cs="Arial" w:eastAsia="Arial" w:hAnsi="Arial"/>
          <w:sz w:val="22"/>
          <w:szCs w:val="22"/>
        </w:rPr>
        <w:t xml:space="preserve"/>
      </w:r>
    </w:p>
    <w:p>
      <w:pPr>
        <w:spacing w:before="80" w:after="80"/>
        <w:jc w:val="both"/>
      </w:pPr>
      <w:r>
        <w:rPr>
          <w:rFonts w:ascii="Arial" w:cs="Arial" w:eastAsia="Arial" w:hAnsi="Arial"/>
          <w:sz w:val="22"/>
          <w:szCs w:val="22"/>
        </w:rPr>
        <w:t xml:space="preserve">Les participants classés 1er, 2e et 3e résidant à Brazzaville bénéficient d’une inscription offerte à la BD Academy pour finaliser leur œuvre sur place. Les lauréats résidant à Kinshasa ou en RDC finalisent leur œuvre à distance et entôt en possession de leur lot après remise de l’œuvre finale validée par Graphik’noir.</w:t>
      </w:r>
    </w:p>
    <w:p>
      <w:pPr>
        <w:pBdr>
          <w:bottom w:val="single" w:color="2E6DA4" w:sz="4" w:space="1"/>
        </w:pBdr>
        <w:spacing w:before="160" w:after="160"/>
      </w:pPr>
    </w:p>
    <w:p>
      <w:pPr>
        <w:pStyle w:val="Heading1"/>
        <w:spacing w:before="320" w:after="120"/>
      </w:pPr>
      <w:r>
        <w:rPr>
          <w:rFonts w:ascii="Arial" w:cs="Arial" w:eastAsia="Arial" w:hAnsi="Arial"/>
          <w:b/>
          <w:bCs/>
          <w:color w:val="1A3A5C"/>
          <w:sz w:val="28"/>
          <w:szCs w:val="28"/>
        </w:rPr>
        <w:t xml:space="preserve">Article 8 – Droits d’auteur et contrat d’édition</w:t>
      </w:r>
    </w:p>
    <w:p>
      <w:pPr>
        <w:spacing w:before="80" w:after="80"/>
        <w:jc w:val="both"/>
      </w:pPr>
      <w:r>
        <w:rPr>
          <w:rFonts w:ascii="Arial" w:cs="Arial" w:eastAsia="Arial" w:hAnsi="Arial"/>
          <w:sz w:val="22"/>
          <w:szCs w:val="22"/>
        </w:rPr>
        <w:t xml:space="preserve">En participant au concours, le laureat (ou l’équipe lauréate) accepte les conditions suivantes :</w:t>
      </w:r>
    </w:p>
    <w:p>
      <w:pPr>
        <w:pStyle w:val="ListParagraph"/>
        <w:numPr>
          <w:ilvl w:val="0"/>
          <w:numId w:val="2"/>
        </w:numPr>
        <w:spacing w:before="60" w:after="60"/>
      </w:pPr>
      <w:r>
        <w:rPr>
          <w:rFonts w:ascii="Arial" w:cs="Arial" w:eastAsia="Arial" w:hAnsi="Arial"/>
          <w:sz w:val="22"/>
          <w:szCs w:val="22"/>
        </w:rPr>
        <w:t xml:space="preserve">L’œuvre publiée est éditée par Graphik’noir, qui en détient les droits d’édition</w:t>
      </w:r>
    </w:p>
    <w:p>
      <w:pPr>
        <w:pStyle w:val="ListParagraph"/>
        <w:numPr>
          <w:ilvl w:val="0"/>
          <w:numId w:val="2"/>
        </w:numPr>
        <w:spacing w:before="60" w:after="60"/>
      </w:pPr>
      <w:r>
        <w:rPr>
          <w:rFonts w:ascii="Arial" w:cs="Arial" w:eastAsia="Arial" w:hAnsi="Arial"/>
          <w:sz w:val="22"/>
          <w:szCs w:val="22"/>
        </w:rPr>
        <w:t xml:space="preserve">Un contrat d’édition est signé entre Graphik’noir et l’auteur (ou le représentant légal pour les mineurs)</w:t>
      </w:r>
    </w:p>
    <w:p>
      <w:pPr>
        <w:pStyle w:val="ListParagraph"/>
        <w:numPr>
          <w:ilvl w:val="0"/>
          <w:numId w:val="2"/>
        </w:numPr>
        <w:spacing w:before="60" w:after="60"/>
      </w:pPr>
      <w:r>
        <w:rPr>
          <w:rFonts w:ascii="Arial" w:cs="Arial" w:eastAsia="Arial" w:hAnsi="Arial"/>
          <w:sz w:val="22"/>
          <w:szCs w:val="22"/>
        </w:rPr>
        <w:t xml:space="preserve">Des droits d’auteur sont reversés à l’auteur selon les modalités précisées dans le contrat</w:t>
      </w:r>
    </w:p>
    <w:p>
      <w:pPr>
        <w:pStyle w:val="ListParagraph"/>
        <w:numPr>
          <w:ilvl w:val="0"/>
          <w:numId w:val="2"/>
        </w:numPr>
        <w:spacing w:before="60" w:after="60"/>
      </w:pPr>
      <w:r>
        <w:rPr>
          <w:rFonts w:ascii="Arial" w:cs="Arial" w:eastAsia="Arial" w:hAnsi="Arial"/>
          <w:sz w:val="22"/>
          <w:szCs w:val="22"/>
        </w:rPr>
        <w:t xml:space="preserve">L’auteur conserve la paternité de l’œuvre et est crédité dans toutes les publications</w:t>
      </w:r>
    </w:p>
    <w:p>
      <w:pPr>
        <w:spacing w:before="80" w:after="80"/>
        <w:jc w:val="both"/>
      </w:pPr>
      <w:r>
        <w:rPr>
          <w:rFonts w:ascii="Arial" w:cs="Arial" w:eastAsia="Arial" w:hAnsi="Arial"/>
          <w:sz w:val="22"/>
          <w:szCs w:val="22"/>
        </w:rPr>
        <w:t xml:space="preserve"/>
      </w:r>
    </w:p>
    <w:p>
      <w:pPr>
        <w:spacing w:before="80" w:after="80"/>
        <w:jc w:val="both"/>
      </w:pPr>
      <w:r>
        <w:rPr>
          <w:rFonts w:ascii="Arial" w:cs="Arial" w:eastAsia="Arial" w:hAnsi="Arial"/>
          <w:sz w:val="22"/>
          <w:szCs w:val="22"/>
        </w:rPr>
        <w:t xml:space="preserve">Pour les œuvres soumises mais non sélectionnées, les participants conservent l’intégralité de leurs droits.</w:t>
      </w:r>
    </w:p>
    <w:p>
      <w:pPr>
        <w:pBdr>
          <w:bottom w:val="single" w:color="2E6DA4" w:sz="4" w:space="1"/>
        </w:pBdr>
        <w:spacing w:before="160" w:after="160"/>
      </w:pPr>
    </w:p>
    <w:p>
      <w:pPr>
        <w:pStyle w:val="Heading1"/>
        <w:spacing w:before="320" w:after="120"/>
      </w:pPr>
      <w:r>
        <w:rPr>
          <w:rFonts w:ascii="Arial" w:cs="Arial" w:eastAsia="Arial" w:hAnsi="Arial"/>
          <w:b/>
          <w:bCs/>
          <w:color w:val="1A3A5C"/>
          <w:sz w:val="28"/>
          <w:szCs w:val="28"/>
        </w:rPr>
        <w:t xml:space="preserve">Article 9 – Engagements du participant</w:t>
      </w:r>
    </w:p>
    <w:p>
      <w:pPr>
        <w:spacing w:before="80" w:after="80"/>
        <w:jc w:val="both"/>
      </w:pPr>
      <w:r>
        <w:rPr>
          <w:rFonts w:ascii="Arial" w:cs="Arial" w:eastAsia="Arial" w:hAnsi="Arial"/>
          <w:sz w:val="22"/>
          <w:szCs w:val="22"/>
        </w:rPr>
        <w:t xml:space="preserve">En s’inscrivant, chaque participant atteste que :</w:t>
      </w:r>
    </w:p>
    <w:p>
      <w:pPr>
        <w:pStyle w:val="ListParagraph"/>
        <w:numPr>
          <w:ilvl w:val="0"/>
          <w:numId w:val="2"/>
        </w:numPr>
        <w:spacing w:before="60" w:after="60"/>
      </w:pPr>
      <w:r>
        <w:rPr>
          <w:rFonts w:ascii="Arial" w:cs="Arial" w:eastAsia="Arial" w:hAnsi="Arial"/>
          <w:sz w:val="22"/>
          <w:szCs w:val="22"/>
        </w:rPr>
        <w:t xml:space="preserve">L’œuvre soumise est une création originale et personnelle</w:t>
      </w:r>
    </w:p>
    <w:p>
      <w:pPr>
        <w:pStyle w:val="ListParagraph"/>
        <w:numPr>
          <w:ilvl w:val="0"/>
          <w:numId w:val="2"/>
        </w:numPr>
        <w:spacing w:before="60" w:after="60"/>
      </w:pPr>
      <w:r>
        <w:rPr>
          <w:rFonts w:ascii="Arial" w:cs="Arial" w:eastAsia="Arial" w:hAnsi="Arial"/>
          <w:sz w:val="22"/>
          <w:szCs w:val="22"/>
        </w:rPr>
        <w:t xml:space="preserve">Il est titulaire de tous les droits sur l’œuvre ou a obtenu les autorisations nécessaires</w:t>
      </w:r>
    </w:p>
    <w:p>
      <w:pPr>
        <w:pStyle w:val="ListParagraph"/>
        <w:numPr>
          <w:ilvl w:val="0"/>
          <w:numId w:val="2"/>
        </w:numPr>
        <w:spacing w:before="60" w:after="60"/>
      </w:pPr>
      <w:r>
        <w:rPr>
          <w:rFonts w:ascii="Arial" w:cs="Arial" w:eastAsia="Arial" w:hAnsi="Arial"/>
          <w:sz w:val="22"/>
          <w:szCs w:val="22"/>
        </w:rPr>
        <w:t xml:space="preserve">L’œuvre n’a pas été publiée ou récompensée dans un autre concours</w:t>
      </w:r>
    </w:p>
    <w:p>
      <w:pPr>
        <w:pStyle w:val="ListParagraph"/>
        <w:numPr>
          <w:ilvl w:val="0"/>
          <w:numId w:val="2"/>
        </w:numPr>
        <w:spacing w:before="60" w:after="60"/>
      </w:pPr>
      <w:r>
        <w:rPr>
          <w:rFonts w:ascii="Arial" w:cs="Arial" w:eastAsia="Arial" w:hAnsi="Arial"/>
          <w:sz w:val="22"/>
          <w:szCs w:val="22"/>
        </w:rPr>
        <w:t xml:space="preserve">Il accepte le présent règlement dans son intégralité</w:t>
      </w:r>
    </w:p>
    <w:p>
      <w:pPr>
        <w:pBdr>
          <w:bottom w:val="single" w:color="2E6DA4" w:sz="4" w:space="1"/>
        </w:pBdr>
        <w:spacing w:before="160" w:after="160"/>
      </w:pPr>
    </w:p>
    <w:p>
      <w:pPr>
        <w:pStyle w:val="Heading1"/>
        <w:spacing w:before="320" w:after="120"/>
      </w:pPr>
      <w:r>
        <w:rPr>
          <w:rFonts w:ascii="Arial" w:cs="Arial" w:eastAsia="Arial" w:hAnsi="Arial"/>
          <w:b/>
          <w:bCs/>
          <w:color w:val="1A3A5C"/>
          <w:sz w:val="28"/>
          <w:szCs w:val="28"/>
        </w:rPr>
        <w:t xml:space="preserve">Article 10 – Dispositions générales</w:t>
      </w:r>
    </w:p>
    <w:p>
      <w:pPr>
        <w:spacing w:before="80" w:after="80"/>
        <w:jc w:val="both"/>
      </w:pPr>
      <w:r>
        <w:rPr>
          <w:rFonts w:ascii="Arial" w:cs="Arial" w:eastAsia="Arial" w:hAnsi="Arial"/>
          <w:sz w:val="22"/>
          <w:szCs w:val="22"/>
        </w:rPr>
        <w:t xml:space="preserve">Graphik’noir se réserve le droit de modifier le présent règlement en cas de nécessité, les participants en seront informés par voie officielle. Tout cas non prévu par le présent règlement sera tranché souverainement par Graphik’noir.</w:t>
      </w:r>
    </w:p>
    <w:p>
      <w:pPr>
        <w:spacing w:before="80" w:after="80"/>
        <w:jc w:val="both"/>
      </w:pPr>
      <w:r>
        <w:rPr>
          <w:rFonts w:ascii="Arial" w:cs="Arial" w:eastAsia="Arial" w:hAnsi="Arial"/>
          <w:sz w:val="22"/>
          <w:szCs w:val="22"/>
        </w:rPr>
        <w:t xml:space="preserve">Pour toute question : contact via le site de Graphik’noir.</w:t>
      </w:r>
    </w:p>
    <w:p>
      <w:pPr>
        <w:pBdr>
          <w:bottom w:val="single" w:color="2E6DA4" w:sz="4" w:space="1"/>
        </w:pBdr>
        <w:spacing w:before="160" w:after="160"/>
      </w:pPr>
    </w:p>
    <w:p>
      <w:pPr>
        <w:spacing w:before="240" w:after="80"/>
        <w:jc w:val="center"/>
      </w:pPr>
      <w:r>
        <w:rPr>
          <w:rFonts w:ascii="Arial" w:cs="Arial" w:eastAsia="Arial" w:hAnsi="Arial"/>
          <w:b/>
          <w:bCs/>
          <w:i/>
          <w:iCs/>
          <w:color w:val="555555"/>
          <w:sz w:val="20"/>
          <w:szCs w:val="20"/>
        </w:rPr>
        <w:t xml:space="preserve">Graphik’noir — Brazzaville, Congo</w:t>
      </w:r>
    </w:p>
    <w:p>
      <w:pPr>
        <w:spacing w:before="0" w:after="0"/>
        <w:jc w:val="center"/>
      </w:pPr>
      <w:r>
        <w:rPr>
          <w:rFonts w:ascii="Arial" w:cs="Arial" w:eastAsia="Arial" w:hAnsi="Arial"/>
          <w:i/>
          <w:iCs/>
          <w:color w:val="888888"/>
          <w:sz w:val="18"/>
          <w:szCs w:val="18"/>
        </w:rPr>
        <w:t xml:space="preserve">Fondée en 2012 par Franck N’zila Malembé</w:t>
      </w:r>
    </w:p>
    <w:sectPr>
      <w:headerReference w:type="default" r:id="rId6"/>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2E6DA4" w:sz="4" w:space="4"/>
      </w:pBdr>
      <w:spacing w:before="120"/>
      <w:jc w:val="center"/>
    </w:pPr>
    <w:r>
      <w:rPr>
        <w:rFonts w:ascii="Arial" w:cs="Arial" w:eastAsia="Arial" w:hAnsi="Arial"/>
        <w:color w:val="888888"/>
        <w:sz w:val="18"/>
        <w:szCs w:val="18"/>
      </w:rPr>
      <w:t xml:space="preserve">Graphik’noir © 2025  |  </w:t>
    </w:r>
    <w:r>
      <w:rPr>
        <w:rFonts w:ascii="Arial" w:cs="Arial" w:eastAsia="Arial" w:hAnsi="Arial"/>
        <w:color w:val="888888"/>
        <w:sz w:val="18"/>
        <w:szCs w:val="18"/>
      </w:rPr>
      <w:t xml:space="preserve">Page </w:t>
    </w:r>
    <w:fldSimple w:instr="PAGE"/>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2E6DA4" w:sz="4" w:space="4"/>
      </w:pBdr>
      <w:spacing w:after="120"/>
      <w:jc w:val="center"/>
    </w:pPr>
    <w:r>
      <w:rPr>
        <w:rFonts w:ascii="Arial" w:cs="Arial" w:eastAsia="Arial" w:hAnsi="Arial"/>
        <w:b/>
        <w:bCs/>
        <w:color w:val="1A3A5C"/>
        <w:sz w:val="20"/>
        <w:szCs w:val="20"/>
      </w:rPr>
      <w:t xml:space="preserve">CONCOURS BD DU FLEUVE CONGO</w:t>
    </w:r>
    <w:r>
      <w:rPr>
        <w:rFonts w:ascii="Arial" w:cs="Arial" w:eastAsia="Arial" w:hAnsi="Arial"/>
        <w:color w:val="666666"/>
        <w:sz w:val="20"/>
        <w:szCs w:val="20"/>
      </w:rPr>
      <w:t xml:space="preserve">  |  Brazzaville – Kinshasa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20" w:after="120"/>
      <w:outlineLvl w:val="0"/>
    </w:pPr>
    <w:rPr>
      <w:rFonts w:ascii="Arial" w:cs="Arial" w:eastAsia="Arial" w:hAnsi="Arial"/>
      <w:b/>
      <w:bCs/>
      <w:color w:val="1A3A5C"/>
      <w:sz w:val="28"/>
      <w:szCs w:val="28"/>
    </w:rPr>
  </w:style>
  <w:style w:type="paragraph" w:styleId="Heading2">
    <w:name w:val="Heading 2"/>
    <w:basedOn w:val="Normal"/>
    <w:next w:val="Normal"/>
    <w:qFormat/>
    <w:pPr>
      <w:spacing w:before="240" w:after="80"/>
      <w:outlineLvl w:val="1"/>
    </w:pPr>
    <w:rPr>
      <w:rFonts w:ascii="Arial" w:cs="Arial" w:eastAsia="Arial" w:hAnsi="Arial"/>
      <w:b/>
      <w:bCs/>
      <w:color w:val="2E6DA4"/>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2026-03-13T13:39:39.563Z</dcterms:created>
  <dcterms:modified xsi:type="dcterms:W3CDTF">2026-03-13T13:39:39.564Z</dcterms:modified>
</cp:coreProperties>
</file>

<file path=docProps/custom.xml><?xml version="1.0" encoding="utf-8"?>
<Properties xmlns="http://schemas.openxmlformats.org/officeDocument/2006/custom-properties" xmlns:vt="http://schemas.openxmlformats.org/officeDocument/2006/docPropsVTypes"/>
</file>